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Нижегородская</w:t>
      </w:r>
      <w:r w:rsidRPr="00875929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разъясняет: с 1 июля 2024 года устанавливается уголовная ответственность за нарушение требований к антитеррористической защищенности объектов (территорий)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Федеральным законом от 31.07.2023 № 398-ФЗ внесены изменения в Уголовный кодекс Российской Федерации и статью 151 Уголовно-процессуального кодекса Российской Федерации.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В соответствии с указанными изменениями Уголовный кодекс Российской Федерации дополнен статьей 217.3 «Нарушение требований к антитеррористической защищенности объектов (территорий)».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Так,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Уголовного кодекса Российской Федерации предусмотрено наказание в виде штрафа в размере до 80 тысяч рублей или в размере заработной платы или иного дохода осужденного за период до 6 месяцев, либо ограничением свободы на срок до 3 лет, либо лишением свободы на тот же срок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 xml:space="preserve">Если же это нарушение повлекло по неосторожности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</w:t>
      </w:r>
      <w:r>
        <w:rPr>
          <w:rFonts w:ascii="Times New Roman" w:hAnsi="Times New Roman" w:cs="Times New Roman"/>
          <w:sz w:val="28"/>
          <w:szCs w:val="28"/>
        </w:rPr>
        <w:t>срок до 3 лет или без такового.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В случае смерти двух и более лиц -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При этом,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Кодекса Российской Федерации об административных правонарушениях, два и более раза в течение ста восьмидесяти дней.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 xml:space="preserve"> Изменения вступят в законную силу с 01.07.2024.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8F"/>
    <w:rsid w:val="00211F79"/>
    <w:rsid w:val="006E2AE5"/>
    <w:rsid w:val="00875929"/>
    <w:rsid w:val="00901D8F"/>
    <w:rsid w:val="00B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40282-278F-41A5-8492-6D7FC9A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2023-08-14T12:25:00Z</dcterms:created>
  <dcterms:modified xsi:type="dcterms:W3CDTF">2023-08-14T12:25:00Z</dcterms:modified>
</cp:coreProperties>
</file>